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E82DE9" w14:paraId="5E560979" w14:textId="77777777" w:rsidTr="00E575E9">
        <w:tc>
          <w:tcPr>
            <w:tcW w:w="4811" w:type="dxa"/>
          </w:tcPr>
          <w:p w14:paraId="1631AEC9" w14:textId="77777777" w:rsidR="00E575E9" w:rsidRPr="00E82DE9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76C5B19F" w:rsidR="00E575E9" w:rsidRPr="00E82DE9" w:rsidRDefault="00E82DE9" w:rsidP="002D786D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Nesfatina-1, nuovo biomarcatore per la diagnosi dei disturbi del comportamento alimentare nei pazienti obesi.</w:t>
            </w:r>
          </w:p>
        </w:tc>
      </w:tr>
      <w:tr w:rsidR="00E575E9" w:rsidRPr="00E82DE9" w14:paraId="56133CD6" w14:textId="77777777" w:rsidTr="00E575E9">
        <w:tc>
          <w:tcPr>
            <w:tcW w:w="4811" w:type="dxa"/>
          </w:tcPr>
          <w:p w14:paraId="25B65D58" w14:textId="77777777" w:rsidR="00E575E9" w:rsidRPr="00E82DE9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6C83FFD6" w:rsidR="00E575E9" w:rsidRPr="00E82DE9" w:rsidRDefault="00F52971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 xml:space="preserve">Prof. </w:t>
            </w:r>
            <w:r w:rsidR="009F5F0D" w:rsidRPr="00E82DE9">
              <w:rPr>
                <w:rFonts w:ascii="Times New Roman" w:hAnsi="Times New Roman" w:cs="Times New Roman"/>
              </w:rPr>
              <w:t>Antonio Brunetti</w:t>
            </w:r>
          </w:p>
          <w:p w14:paraId="782EBE2B" w14:textId="73CDD90D" w:rsidR="00E82DE9" w:rsidRPr="00E82DE9" w:rsidRDefault="00E82DE9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Prof.ssa Cristina Segura-Garcia</w:t>
            </w:r>
          </w:p>
          <w:p w14:paraId="72C3A163" w14:textId="221C5CED" w:rsidR="00F52971" w:rsidRPr="00E82DE9" w:rsidRDefault="002D786D" w:rsidP="0076607A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E82DE9" w14:paraId="456980E8" w14:textId="77777777" w:rsidTr="00E575E9">
        <w:tc>
          <w:tcPr>
            <w:tcW w:w="4811" w:type="dxa"/>
          </w:tcPr>
          <w:p w14:paraId="3B11D0E8" w14:textId="77777777" w:rsidR="00E575E9" w:rsidRPr="00E82DE9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E82DE9" w:rsidRDefault="00E575E9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E82DE9" w14:paraId="42DEAC66" w14:textId="77777777" w:rsidTr="00E575E9">
        <w:tc>
          <w:tcPr>
            <w:tcW w:w="4811" w:type="dxa"/>
          </w:tcPr>
          <w:p w14:paraId="7B831E0B" w14:textId="7918C21D" w:rsidR="00E575E9" w:rsidRPr="00E82DE9" w:rsidRDefault="00A60C68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0F1E48B0" w:rsidR="00E575E9" w:rsidRPr="00E82DE9" w:rsidRDefault="00FB425F" w:rsidP="00BC61CD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STUDIO CLINICO - NUOVI BIOMARCATORI PER LA DIAGNOSI E IL FOLLOW-UP DI PATOLOGIE</w:t>
            </w:r>
          </w:p>
        </w:tc>
      </w:tr>
      <w:tr w:rsidR="00E575E9" w:rsidRPr="00E82DE9" w14:paraId="011C12E5" w14:textId="77777777" w:rsidTr="00E575E9">
        <w:tc>
          <w:tcPr>
            <w:tcW w:w="4811" w:type="dxa"/>
          </w:tcPr>
          <w:p w14:paraId="738899F2" w14:textId="77777777" w:rsidR="00E575E9" w:rsidRPr="00E82DE9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23F595C" w:rsidR="00E575E9" w:rsidRPr="00E82DE9" w:rsidRDefault="00E82DE9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MED/13, MED/2</w:t>
            </w:r>
            <w:r w:rsidR="009F5F0D" w:rsidRPr="00E82DE9">
              <w:rPr>
                <w:rFonts w:ascii="Times New Roman" w:hAnsi="Times New Roman" w:cs="Times New Roman"/>
              </w:rPr>
              <w:t>5</w:t>
            </w:r>
          </w:p>
        </w:tc>
      </w:tr>
      <w:tr w:rsidR="00E575E9" w:rsidRPr="00E82DE9" w14:paraId="449D4E9A" w14:textId="77777777" w:rsidTr="00E575E9">
        <w:tc>
          <w:tcPr>
            <w:tcW w:w="4811" w:type="dxa"/>
          </w:tcPr>
          <w:p w14:paraId="2D0D90B1" w14:textId="77777777" w:rsidR="00E575E9" w:rsidRPr="00E82DE9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5F1B099" w:rsidR="00E575E9" w:rsidRPr="00E82DE9" w:rsidRDefault="00E82DE9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E82DE9">
              <w:rPr>
                <w:rFonts w:ascii="Times New Roman" w:hAnsi="Times New Roman" w:cs="Times New Roman"/>
              </w:rPr>
              <w:t>Studio clinico osservazionale. Lo studio clinico, integrato da dati sperimentali su modelli cellulari ed animali, ha permesso di identificare nesfatina-1 come nuovo biomarcatore circolante associato a disturbi del comportamento alimentare nei pazienti affetti da obesità. Maggiori dettagli sono disponibili su: https://doi.org/10.3390/nu15020348</w:t>
            </w:r>
          </w:p>
        </w:tc>
      </w:tr>
      <w:tr w:rsidR="00E575E9" w:rsidRPr="00E82DE9" w14:paraId="2DE8C91B" w14:textId="77777777" w:rsidTr="00E575E9">
        <w:tc>
          <w:tcPr>
            <w:tcW w:w="4811" w:type="dxa"/>
          </w:tcPr>
          <w:p w14:paraId="4BCD2391" w14:textId="77777777" w:rsidR="00E575E9" w:rsidRPr="00E82DE9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ECFFA04" w:rsidR="00E575E9" w:rsidRPr="00E82DE9" w:rsidRDefault="0076607A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E82DE9" w14:paraId="1BD305BF" w14:textId="77777777" w:rsidTr="00E575E9">
        <w:tc>
          <w:tcPr>
            <w:tcW w:w="4811" w:type="dxa"/>
          </w:tcPr>
          <w:p w14:paraId="5677EE65" w14:textId="3D4FE0CF" w:rsidR="00E575E9" w:rsidRPr="00E82DE9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E82DE9">
              <w:rPr>
                <w:rFonts w:ascii="Times New Roman" w:hAnsi="Times New Roman" w:cs="Times New Roman"/>
                <w:b/>
              </w:rPr>
              <w:t>/co</w:t>
            </w:r>
            <w:r w:rsidR="00647A07" w:rsidRPr="00E82DE9">
              <w:rPr>
                <w:rFonts w:ascii="Times New Roman" w:hAnsi="Times New Roman" w:cs="Times New Roman"/>
                <w:b/>
              </w:rPr>
              <w:t>l</w:t>
            </w:r>
            <w:r w:rsidR="00C530D3" w:rsidRPr="00E82DE9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3AFFE214" w:rsidR="00E575E9" w:rsidRPr="00E82DE9" w:rsidRDefault="009F5F0D" w:rsidP="008B60E8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E82DE9" w14:paraId="417F2A02" w14:textId="77777777" w:rsidTr="00E575E9">
        <w:tc>
          <w:tcPr>
            <w:tcW w:w="4811" w:type="dxa"/>
          </w:tcPr>
          <w:p w14:paraId="09902AFC" w14:textId="77777777" w:rsidR="00E575E9" w:rsidRPr="00E82DE9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82DE9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E82DE9" w:rsidRDefault="00E575E9">
            <w:pPr>
              <w:rPr>
                <w:rFonts w:ascii="Times New Roman" w:hAnsi="Times New Roman" w:cs="Times New Roman"/>
              </w:rPr>
            </w:pPr>
            <w:r w:rsidRPr="00E82DE9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E9AB0" w14:textId="77777777" w:rsidR="00F750A3" w:rsidRDefault="00F750A3" w:rsidP="004C6BFB">
      <w:r>
        <w:separator/>
      </w:r>
    </w:p>
  </w:endnote>
  <w:endnote w:type="continuationSeparator" w:id="0">
    <w:p w14:paraId="0910C2A4" w14:textId="77777777" w:rsidR="00F750A3" w:rsidRDefault="00F750A3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4853C" w14:textId="77777777" w:rsidR="00F750A3" w:rsidRDefault="00F750A3" w:rsidP="004C6BFB">
      <w:r>
        <w:separator/>
      </w:r>
    </w:p>
  </w:footnote>
  <w:footnote w:type="continuationSeparator" w:id="0">
    <w:p w14:paraId="1BAC1DE9" w14:textId="77777777" w:rsidR="00F750A3" w:rsidRDefault="00F750A3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714F0"/>
    <w:rsid w:val="0010621C"/>
    <w:rsid w:val="00195302"/>
    <w:rsid w:val="002B5881"/>
    <w:rsid w:val="002D786D"/>
    <w:rsid w:val="004C6BFB"/>
    <w:rsid w:val="00647A07"/>
    <w:rsid w:val="006658E3"/>
    <w:rsid w:val="006B014A"/>
    <w:rsid w:val="0076607A"/>
    <w:rsid w:val="007D6FED"/>
    <w:rsid w:val="00804E8A"/>
    <w:rsid w:val="008B60E8"/>
    <w:rsid w:val="009F5F0D"/>
    <w:rsid w:val="00A439E9"/>
    <w:rsid w:val="00A60C68"/>
    <w:rsid w:val="00BB7464"/>
    <w:rsid w:val="00BC61CD"/>
    <w:rsid w:val="00BD5578"/>
    <w:rsid w:val="00C530D3"/>
    <w:rsid w:val="00D96153"/>
    <w:rsid w:val="00E02D8F"/>
    <w:rsid w:val="00E575E9"/>
    <w:rsid w:val="00E82DE9"/>
    <w:rsid w:val="00EC4BD3"/>
    <w:rsid w:val="00F359E8"/>
    <w:rsid w:val="00F52971"/>
    <w:rsid w:val="00F750A3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2024-07-21T07:29:00Z</dcterms:created>
  <dcterms:modified xsi:type="dcterms:W3CDTF">2024-07-21T09:51:00Z</dcterms:modified>
</cp:coreProperties>
</file>